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Osby kommunfullmäktige</w:t>
      </w:r>
    </w:p>
    <w:p>
      <w:pPr>
        <w:pStyle w:val="Heading1"/>
      </w:pPr>
      <w:r>
        <w:t xml:space="preserve">Effektiv integration genom språkkrav och arbetslinje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Osby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i Osby är 12 procentenheter lägre än bland inrikes födda (SCB 2023). SFI-genomströmningen är låg enligt kommunens integrationsrapport.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Osby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Osby kommunfullmäktige beslutar att införa krav på godkänt betyg i SFI för att få försörjningsstöd efter 24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praktikplatser hos kommunala verksamheter och lokala företag utökas.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jobbcoachfunktion inrättas för nyanlända.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sysselsättningsresultaten följs upp kvartalsvis.</w:t>
      </w:r>
    </w:p>
    <w:p>
      <w:pPr>
        <w:spacing w:before="360"/>
      </w:pPr>
    </w:p>
    <w:p>
      <w:r>
        <w:t xml:space="preserve">Osby,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Osby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2026-06-06T01:48:29.121Z</dcterms:created>
  <dcterms:modified xsi:type="dcterms:W3CDTF">2026-06-06T01:48:29.121Z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